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中国人寿保险（海外）股份有限公司就RPA业务流程维护及改造项目进行公开招标，请合格投标人提交密封的投标文件。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公告日期：北京时间 202</w:t>
      </w:r>
      <w:r>
        <w:rPr>
          <w:rFonts w:hint="eastAsia" w:ascii="仿宋" w:hAnsi="仿宋" w:eastAsia="仿宋" w:cstheme="minorEastAsia"/>
          <w:snapToGrid/>
          <w:kern w:val="2"/>
          <w:sz w:val="32"/>
          <w:szCs w:val="32"/>
          <w:lang w:val="en-US" w:eastAsia="zh-CN"/>
        </w:rPr>
        <w:t>5</w:t>
      </w:r>
      <w:r>
        <w:rPr>
          <w:rFonts w:hint="eastAsia" w:ascii="仿宋" w:hAnsi="仿宋" w:eastAsia="仿宋" w:cstheme="minorEastAsia"/>
          <w:snapToGrid/>
          <w:kern w:val="2"/>
          <w:sz w:val="32"/>
          <w:szCs w:val="32"/>
          <w:lang w:eastAsia="zh-CN"/>
        </w:rPr>
        <w:t>年</w:t>
      </w:r>
      <w:r>
        <w:rPr>
          <w:rFonts w:hint="eastAsia" w:ascii="仿宋" w:hAnsi="仿宋" w:eastAsia="仿宋" w:cstheme="minorEastAsia"/>
          <w:snapToGrid/>
          <w:kern w:val="2"/>
          <w:sz w:val="32"/>
          <w:szCs w:val="32"/>
          <w:lang w:val="en-US" w:eastAsia="zh-CN"/>
        </w:rPr>
        <w:t>9</w:t>
      </w:r>
      <w:r>
        <w:rPr>
          <w:rFonts w:hint="eastAsia" w:ascii="仿宋" w:hAnsi="仿宋" w:eastAsia="仿宋" w:cstheme="minorEastAsia"/>
          <w:snapToGrid/>
          <w:kern w:val="2"/>
          <w:sz w:val="32"/>
          <w:szCs w:val="32"/>
          <w:lang w:eastAsia="zh-CN"/>
        </w:rPr>
        <w:t>月</w:t>
      </w:r>
      <w:r>
        <w:rPr>
          <w:rFonts w:hint="eastAsia" w:ascii="仿宋" w:hAnsi="仿宋" w:eastAsia="仿宋" w:cstheme="minorEastAsia"/>
          <w:snapToGrid/>
          <w:kern w:val="2"/>
          <w:sz w:val="32"/>
          <w:szCs w:val="32"/>
          <w:lang w:val="en-US" w:eastAsia="zh-CN"/>
        </w:rPr>
        <w:t>30</w:t>
      </w:r>
      <w:r>
        <w:rPr>
          <w:rFonts w:hint="eastAsia" w:ascii="仿宋" w:hAnsi="仿宋" w:eastAsia="仿宋" w:cstheme="minorEastAsia"/>
          <w:snapToGrid/>
          <w:kern w:val="2"/>
          <w:sz w:val="32"/>
          <w:szCs w:val="32"/>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RPA业务流程维护及改造项目</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二、项目编号：</w:t>
      </w:r>
      <w:r>
        <w:rPr>
          <w:rFonts w:hint="eastAsia" w:ascii="仿宋" w:hAnsi="仿宋" w:eastAsia="仿宋" w:cstheme="minorEastAsia"/>
          <w:snapToGrid/>
          <w:kern w:val="2"/>
          <w:sz w:val="32"/>
          <w:szCs w:val="32"/>
          <w:lang w:eastAsia="zh-CN"/>
        </w:rPr>
        <w:t>CLIO_QB2_202509011270</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 xml:space="preserve">本项目共为 </w:t>
      </w:r>
      <w:r>
        <w:rPr>
          <w:rFonts w:hint="eastAsia" w:ascii="仿宋" w:hAnsi="仿宋" w:eastAsia="仿宋" w:cs="仿宋"/>
          <w:snapToGrid/>
          <w:kern w:val="2"/>
          <w:sz w:val="32"/>
          <w:szCs w:val="32"/>
          <w:lang w:val="en-US" w:eastAsia="zh-CN"/>
        </w:rPr>
        <w:t>1</w:t>
      </w:r>
      <w:r>
        <w:rPr>
          <w:rFonts w:hint="eastAsia" w:ascii="仿宋" w:hAnsi="仿宋" w:eastAsia="仿宋" w:cs="仿宋"/>
          <w:snapToGrid/>
          <w:kern w:val="2"/>
          <w:sz w:val="32"/>
          <w:szCs w:val="32"/>
          <w:lang w:eastAsia="zh-CN"/>
        </w:rPr>
        <w:t xml:space="preserve"> 包,相关采购需求如下：</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为提升</w:t>
      </w:r>
      <w:r>
        <w:rPr>
          <w:rFonts w:hint="eastAsia" w:ascii="仿宋" w:hAnsi="仿宋" w:eastAsia="仿宋" w:cs="仿宋"/>
          <w:snapToGrid/>
          <w:kern w:val="2"/>
          <w:sz w:val="32"/>
          <w:szCs w:val="32"/>
          <w:lang w:val="en-US" w:eastAsia="zh-CN"/>
        </w:rPr>
        <w:t>海外公司财务</w:t>
      </w:r>
      <w:r>
        <w:rPr>
          <w:rFonts w:hint="eastAsia" w:ascii="仿宋" w:hAnsi="仿宋" w:eastAsia="仿宋" w:cs="仿宋"/>
          <w:snapToGrid/>
          <w:kern w:val="2"/>
          <w:sz w:val="32"/>
          <w:szCs w:val="32"/>
          <w:lang w:eastAsia="zh-CN"/>
        </w:rPr>
        <w:t>用户</w:t>
      </w:r>
      <w:r>
        <w:rPr>
          <w:rFonts w:hint="eastAsia" w:ascii="仿宋" w:hAnsi="仿宋" w:eastAsia="仿宋" w:cs="仿宋"/>
          <w:snapToGrid/>
          <w:kern w:val="2"/>
          <w:sz w:val="32"/>
          <w:szCs w:val="32"/>
          <w:lang w:val="en-US" w:eastAsia="zh-CN"/>
        </w:rPr>
        <w:t>的工作</w:t>
      </w:r>
      <w:r>
        <w:rPr>
          <w:rFonts w:hint="eastAsia" w:ascii="仿宋" w:hAnsi="仿宋" w:eastAsia="仿宋" w:cs="仿宋"/>
          <w:snapToGrid/>
          <w:kern w:val="2"/>
          <w:sz w:val="32"/>
          <w:szCs w:val="32"/>
          <w:lang w:eastAsia="zh-CN"/>
        </w:rPr>
        <w:t>体验及运营效率，</w:t>
      </w:r>
      <w:r>
        <w:rPr>
          <w:rFonts w:hint="eastAsia" w:ascii="仿宋" w:hAnsi="仿宋" w:eastAsia="仿宋" w:cs="仿宋"/>
          <w:snapToGrid/>
          <w:kern w:val="2"/>
          <w:sz w:val="32"/>
          <w:szCs w:val="32"/>
          <w:lang w:val="en-US" w:eastAsia="zh-CN"/>
        </w:rPr>
        <w:t>为</w:t>
      </w:r>
      <w:r>
        <w:rPr>
          <w:rFonts w:hint="eastAsia" w:ascii="仿宋" w:hAnsi="仿宋" w:eastAsia="仿宋" w:cs="仿宋"/>
          <w:snapToGrid/>
          <w:kern w:val="2"/>
          <w:sz w:val="32"/>
          <w:szCs w:val="32"/>
          <w:lang w:eastAsia="zh-CN"/>
        </w:rPr>
        <w:t>数据驱动业务发展奠定基础，本项目将</w:t>
      </w:r>
      <w:r>
        <w:rPr>
          <w:rFonts w:hint="eastAsia" w:ascii="仿宋" w:hAnsi="仿宋" w:eastAsia="仿宋" w:cs="仿宋"/>
          <w:snapToGrid/>
          <w:kern w:val="2"/>
          <w:sz w:val="32"/>
          <w:szCs w:val="32"/>
          <w:lang w:val="en-US" w:eastAsia="zh-CN"/>
        </w:rPr>
        <w:t>针对香港、澳门、新加坡、信托公司的财务</w:t>
      </w:r>
      <w:r>
        <w:rPr>
          <w:rFonts w:hint="eastAsia" w:ascii="仿宋" w:hAnsi="仿宋" w:eastAsia="仿宋" w:cs="仿宋"/>
          <w:snapToGrid/>
          <w:kern w:val="2"/>
          <w:sz w:val="32"/>
          <w:szCs w:val="32"/>
          <w:lang w:eastAsia="zh-CN"/>
        </w:rPr>
        <w:t>业务，</w:t>
      </w:r>
      <w:r>
        <w:rPr>
          <w:rFonts w:hint="eastAsia" w:ascii="仿宋" w:hAnsi="仿宋" w:eastAsia="仿宋" w:cs="仿宋"/>
          <w:snapToGrid/>
          <w:kern w:val="2"/>
          <w:sz w:val="32"/>
          <w:szCs w:val="32"/>
          <w:lang w:val="en-US" w:eastAsia="zh-CN"/>
        </w:rPr>
        <w:t>结合国寿海外内部系统OneLife、Ilife、SAP系统及外部网银系统，处理数据管理、票据管理、报表管理、清单核对、资金核对、收费核对、往来账款数据、财务基础数据维护等业务板块。通过RPA，串联各个系统，实现端到端的业务流程。</w:t>
      </w:r>
      <w:r>
        <w:rPr>
          <w:rFonts w:hint="eastAsia" w:ascii="仿宋" w:hAnsi="仿宋" w:eastAsia="仿宋" w:cs="仿宋"/>
          <w:snapToGrid/>
          <w:kern w:val="2"/>
          <w:sz w:val="32"/>
          <w:szCs w:val="32"/>
          <w:lang w:eastAsia="zh-CN"/>
        </w:rPr>
        <w:t>项目</w:t>
      </w:r>
      <w:r>
        <w:rPr>
          <w:rFonts w:hint="eastAsia" w:ascii="仿宋" w:hAnsi="仿宋" w:eastAsia="仿宋" w:cs="仿宋"/>
          <w:snapToGrid/>
          <w:kern w:val="2"/>
          <w:sz w:val="32"/>
          <w:szCs w:val="32"/>
          <w:lang w:val="en-US" w:eastAsia="zh-CN"/>
        </w:rPr>
        <w:t>运维</w:t>
      </w:r>
      <w:r>
        <w:rPr>
          <w:rFonts w:hint="eastAsia" w:ascii="仿宋" w:hAnsi="仿宋" w:eastAsia="仿宋" w:cs="仿宋"/>
          <w:snapToGrid/>
          <w:kern w:val="2"/>
          <w:sz w:val="32"/>
          <w:szCs w:val="32"/>
          <w:lang w:eastAsia="zh-CN"/>
        </w:rPr>
        <w:t>需要服务商派遣</w:t>
      </w:r>
      <w:r>
        <w:rPr>
          <w:rFonts w:hint="eastAsia" w:ascii="仿宋" w:hAnsi="仿宋" w:eastAsia="仿宋" w:cs="仿宋"/>
          <w:snapToGrid/>
          <w:kern w:val="2"/>
          <w:sz w:val="32"/>
          <w:szCs w:val="32"/>
          <w:lang w:val="en-US" w:eastAsia="zh-CN"/>
        </w:rPr>
        <w:t>1</w:t>
      </w:r>
      <w:r>
        <w:rPr>
          <w:rFonts w:hint="eastAsia" w:ascii="仿宋" w:hAnsi="仿宋" w:eastAsia="仿宋" w:cs="仿宋"/>
          <w:snapToGrid/>
          <w:kern w:val="2"/>
          <w:sz w:val="32"/>
          <w:szCs w:val="32"/>
          <w:lang w:eastAsia="zh-CN"/>
        </w:rPr>
        <w:t>人驻场实施，</w:t>
      </w:r>
      <w:r>
        <w:rPr>
          <w:rFonts w:hint="eastAsia" w:ascii="仿宋" w:hAnsi="仿宋" w:eastAsia="仿宋" w:cs="仿宋"/>
          <w:snapToGrid/>
          <w:kern w:val="2"/>
          <w:sz w:val="32"/>
          <w:szCs w:val="32"/>
          <w:lang w:val="en-US" w:eastAsia="zh-CN"/>
        </w:rPr>
        <w:t>保障流程稳定运行，</w:t>
      </w:r>
      <w:r>
        <w:rPr>
          <w:rFonts w:hint="eastAsia" w:ascii="仿宋" w:hAnsi="仿宋" w:eastAsia="仿宋" w:cs="仿宋"/>
          <w:snapToGrid/>
          <w:kern w:val="2"/>
          <w:sz w:val="32"/>
          <w:szCs w:val="32"/>
          <w:lang w:eastAsia="zh-CN"/>
        </w:rPr>
        <w:t>完善</w:t>
      </w:r>
      <w:r>
        <w:rPr>
          <w:rFonts w:hint="eastAsia" w:ascii="仿宋" w:hAnsi="仿宋" w:eastAsia="仿宋" w:cs="仿宋"/>
          <w:snapToGrid/>
          <w:kern w:val="2"/>
          <w:sz w:val="32"/>
          <w:szCs w:val="32"/>
          <w:lang w:val="en-US" w:eastAsia="zh-CN"/>
        </w:rPr>
        <w:t>机器人自动操作</w:t>
      </w:r>
      <w:r>
        <w:rPr>
          <w:rFonts w:hint="eastAsia" w:ascii="仿宋" w:hAnsi="仿宋" w:eastAsia="仿宋" w:cs="仿宋"/>
          <w:snapToGrid/>
          <w:kern w:val="2"/>
          <w:sz w:val="32"/>
          <w:szCs w:val="32"/>
          <w:lang w:eastAsia="zh-CN"/>
        </w:rPr>
        <w:t>场景，</w:t>
      </w:r>
      <w:r>
        <w:rPr>
          <w:rFonts w:hint="eastAsia" w:ascii="仿宋" w:hAnsi="仿宋" w:eastAsia="仿宋" w:cs="仿宋"/>
          <w:snapToGrid/>
          <w:kern w:val="2"/>
          <w:sz w:val="32"/>
          <w:szCs w:val="32"/>
          <w:lang w:val="en-US" w:eastAsia="zh-CN"/>
        </w:rPr>
        <w:t>使得财务业务正常高效进行。</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如有效合格投标人数不足3家的，按废标处理；</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 3 家（含）以上的，中标人数量：1名。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服务期限：自合同签订之日起</w:t>
      </w:r>
      <w:r>
        <w:rPr>
          <w:rFonts w:hint="eastAsia" w:ascii="仿宋" w:hAnsi="仿宋" w:eastAsia="仿宋" w:cs="仿宋"/>
          <w:snapToGrid/>
          <w:kern w:val="2"/>
          <w:sz w:val="32"/>
          <w:szCs w:val="32"/>
          <w:lang w:val="en-US" w:eastAsia="zh-CN"/>
        </w:rPr>
        <w:t>两</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四、本项目不接受单位负责人为同一人或者存在直接控股、管理关系的不同单位同时参与同一标段或者未划分标段的同一招标项目的投标。合格投标人必须符合以下条件，否则招标人有权拒绝投标人的投标：</w:t>
      </w:r>
    </w:p>
    <w:p>
      <w:pPr>
        <w:numPr>
          <w:ilvl w:val="0"/>
          <w:numId w:val="1"/>
        </w:numPr>
        <w:spacing w:line="520" w:lineRule="exact"/>
        <w:ind w:firstLine="42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numPr>
          <w:ilvl w:val="0"/>
          <w:numId w:val="1"/>
        </w:numPr>
        <w:spacing w:line="520" w:lineRule="exact"/>
        <w:ind w:firstLine="42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具有良好的商业信誉和健全的财务会计制度，提供近X年审计报告（由具相应资质的会计事务所出具的审计报告），报告中有保留意见的均视为资格不符；</w:t>
      </w:r>
    </w:p>
    <w:p>
      <w:pPr>
        <w:numPr>
          <w:ilvl w:val="0"/>
          <w:numId w:val="1"/>
        </w:numPr>
        <w:spacing w:line="520" w:lineRule="exact"/>
        <w:ind w:firstLine="42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numPr>
          <w:ilvl w:val="0"/>
          <w:numId w:val="1"/>
        </w:numPr>
        <w:spacing w:line="520" w:lineRule="exact"/>
        <w:ind w:firstLine="42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numPr>
          <w:ilvl w:val="0"/>
          <w:numId w:val="1"/>
        </w:numPr>
        <w:spacing w:line="520" w:lineRule="exact"/>
        <w:ind w:firstLine="42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left="0" w:leftChars="0" w:right="7" w:firstLine="420" w:firstLineChars="0"/>
        <w:outlineLvl w:val="1"/>
        <w:rPr>
          <w:rFonts w:ascii="仿宋" w:hAnsi="仿宋" w:eastAsia="仿宋" w:cs="仿宋"/>
          <w:snapToGrid/>
          <w:kern w:val="2"/>
          <w:sz w:val="32"/>
          <w:szCs w:val="32"/>
          <w:lang w:eastAsia="zh-CN"/>
        </w:rPr>
      </w:pPr>
      <w:r>
        <w:rPr>
          <w:rFonts w:hint="eastAsia" w:ascii="仿宋" w:hAnsi="仿宋" w:eastAsia="仿宋" w:cs="仿宋"/>
          <w:snapToGrid/>
          <w:color w:val="000000"/>
          <w:kern w:val="2"/>
          <w:sz w:val="32"/>
          <w:szCs w:val="32"/>
          <w:lang w:val="en-US" w:eastAsia="zh-CN" w:bidi="ar-SA"/>
        </w:rPr>
        <w:t>参与本项目前三年内，无行贿犯罪记录，在经营活动中没有重大违法记录，不存在处于被相关主管部门处以禁止参与政府采购活动期限内的情形；</w:t>
      </w:r>
    </w:p>
    <w:p>
      <w:pPr>
        <w:pStyle w:val="3"/>
        <w:numPr>
          <w:ilvl w:val="0"/>
          <w:numId w:val="1"/>
        </w:numPr>
        <w:spacing w:before="68" w:line="560" w:lineRule="exact"/>
        <w:ind w:left="0" w:leftChars="0" w:right="7" w:firstLine="420" w:firstLineChars="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val="en-US" w:eastAsia="zh-CN"/>
        </w:rPr>
        <w:t>7</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(北京时间202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9</w:t>
      </w:r>
      <w:r>
        <w:rPr>
          <w:rFonts w:hint="eastAsia" w:ascii="仿宋" w:hAnsi="仿宋" w:eastAsia="仿宋" w:cs="仿宋"/>
          <w:snapToGrid/>
          <w:kern w:val="2"/>
          <w:sz w:val="32"/>
          <w:szCs w:val="32"/>
          <w:lang w:eastAsia="zh-CN"/>
        </w:rPr>
        <w:t>日9:00至202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16</w:t>
      </w:r>
      <w:r>
        <w:rPr>
          <w:rFonts w:hint="eastAsia" w:ascii="仿宋" w:hAnsi="仿宋" w:eastAsia="仿宋" w:cs="仿宋"/>
          <w:snapToGrid/>
          <w:kern w:val="2"/>
          <w:sz w:val="32"/>
          <w:szCs w:val="32"/>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w:t>
      </w:r>
      <w:r>
        <w:rPr>
          <w:rFonts w:hint="eastAsia" w:ascii="仿宋" w:hAnsi="仿宋" w:eastAsia="仿宋" w:cs="仿宋"/>
          <w:snapToGrid/>
          <w:kern w:val="2"/>
          <w:sz w:val="32"/>
          <w:szCs w:val="32"/>
          <w:lang w:eastAsia="zh"/>
        </w:rPr>
        <w:t>件</w:t>
      </w:r>
      <w:r>
        <w:rPr>
          <w:rFonts w:hint="eastAsia" w:ascii="仿宋" w:hAnsi="仿宋" w:eastAsia="仿宋" w:cs="仿宋"/>
          <w:snapToGrid/>
          <w:kern w:val="2"/>
          <w:sz w:val="32"/>
          <w:szCs w:val="32"/>
          <w:lang w:eastAsia="zh-CN"/>
        </w:rPr>
        <w:t>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附件1</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附件2</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复印件并</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投标人法定代表人授权书签字并加盖公章（</w:t>
      </w:r>
      <w:r>
        <w:rPr>
          <w:rFonts w:hint="eastAsia" w:ascii="仿宋" w:hAnsi="仿宋" w:eastAsia="仿宋" w:cstheme="minorEastAsia"/>
          <w:snapToGrid/>
          <w:kern w:val="2"/>
          <w:sz w:val="32"/>
          <w:szCs w:val="32"/>
          <w:lang w:val="en-US" w:eastAsia="zh-CN"/>
        </w:rPr>
        <w:t>附件3</w:t>
      </w:r>
      <w:r>
        <w:rPr>
          <w:rFonts w:hint="eastAsia" w:ascii="仿宋" w:hAnsi="仿宋" w:eastAsia="仿宋" w:cstheme="minorEastAsia"/>
          <w:snapToGrid/>
          <w:kern w:val="2"/>
          <w:sz w:val="32"/>
          <w:szCs w:val="32"/>
          <w:lang w:eastAsia="zh-CN"/>
        </w:rPr>
        <w:t xml:space="preserve">）。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w:t>
      </w:r>
      <w:r>
        <w:rPr>
          <w:rFonts w:hint="eastAsia" w:ascii="仿宋" w:hAnsi="仿宋" w:eastAsia="仿宋" w:cs="仿宋"/>
          <w:snapToGrid/>
          <w:kern w:val="2"/>
          <w:sz w:val="32"/>
          <w:szCs w:val="32"/>
          <w:lang w:eastAsia="zh"/>
        </w:rPr>
        <w:t>电子</w:t>
      </w:r>
      <w:r>
        <w:rPr>
          <w:rFonts w:hint="eastAsia" w:ascii="仿宋" w:hAnsi="仿宋" w:eastAsia="仿宋" w:cs="仿宋"/>
          <w:snapToGrid/>
          <w:kern w:val="2"/>
          <w:sz w:val="32"/>
          <w:szCs w:val="32"/>
          <w:lang w:eastAsia="zh-CN"/>
        </w:rPr>
        <w:t>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提问截止时间为北京时间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17</w:t>
      </w:r>
      <w:r>
        <w:rPr>
          <w:rFonts w:hint="eastAsia" w:ascii="仿宋" w:hAnsi="仿宋" w:eastAsia="仿宋" w:cs="仿宋"/>
          <w:snapToGrid/>
          <w:kern w:val="2"/>
          <w:sz w:val="32"/>
          <w:szCs w:val="32"/>
          <w:lang w:eastAsia="zh-CN"/>
        </w:rPr>
        <w:t>日</w:t>
      </w:r>
      <w:bookmarkStart w:id="2" w:name="OLE_LINK3"/>
      <w:r>
        <w:rPr>
          <w:rFonts w:hint="eastAsia" w:ascii="仿宋" w:hAnsi="仿宋" w:eastAsia="仿宋" w:cs="仿宋"/>
          <w:snapToGrid/>
          <w:kern w:val="2"/>
          <w:sz w:val="32"/>
          <w:szCs w:val="32"/>
          <w:lang w:val="en-US" w:eastAsia="zh-CN"/>
        </w:rPr>
        <w:t>18</w:t>
      </w:r>
      <w:r>
        <w:rPr>
          <w:rFonts w:hint="eastAsia" w:ascii="仿宋" w:hAnsi="仿宋" w:eastAsia="仿宋" w:cs="仿宋"/>
          <w:snapToGrid/>
          <w:kern w:val="2"/>
          <w:sz w:val="32"/>
          <w:szCs w:val="32"/>
          <w:lang w:eastAsia="zh-CN"/>
        </w:rPr>
        <w:t>:00</w:t>
      </w:r>
      <w:bookmarkEnd w:id="2"/>
      <w:r>
        <w:rPr>
          <w:rFonts w:hint="eastAsia" w:ascii="仿宋" w:hAnsi="仿宋" w:eastAsia="仿宋" w:cs="仿宋"/>
          <w:snapToGrid/>
          <w:kern w:val="2"/>
          <w:sz w:val="32"/>
          <w:szCs w:val="32"/>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答复截止时间为北京时间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17</w:t>
      </w:r>
      <w:r>
        <w:rPr>
          <w:rFonts w:hint="eastAsia" w:ascii="仿宋" w:hAnsi="仿宋" w:eastAsia="仿宋" w:cs="仿宋"/>
          <w:snapToGrid/>
          <w:kern w:val="2"/>
          <w:sz w:val="32"/>
          <w:szCs w:val="32"/>
          <w:lang w:eastAsia="zh-CN"/>
        </w:rPr>
        <w:t>日</w:t>
      </w:r>
      <w:r>
        <w:rPr>
          <w:rFonts w:hint="eastAsia" w:ascii="仿宋" w:hAnsi="仿宋" w:eastAsia="仿宋" w:cs="仿宋"/>
          <w:snapToGrid/>
          <w:kern w:val="2"/>
          <w:sz w:val="32"/>
          <w:szCs w:val="32"/>
          <w:lang w:val="en-US" w:eastAsia="zh-CN"/>
        </w:rPr>
        <w:t>18</w:t>
      </w:r>
      <w:r>
        <w:rPr>
          <w:rFonts w:hint="eastAsia" w:ascii="仿宋" w:hAnsi="仿宋" w:eastAsia="仿宋" w:cs="仿宋"/>
          <w:snapToGrid/>
          <w:kern w:val="2"/>
          <w:sz w:val="32"/>
          <w:szCs w:val="32"/>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投标截至时间：北京时间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24</w:t>
      </w:r>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:00</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开 标 时 间: </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北京时间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24</w:t>
      </w:r>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10</w:t>
      </w:r>
      <w:bookmarkStart w:id="3" w:name="_GoBack"/>
      <w:bookmarkEnd w:id="3"/>
      <w:r>
        <w:rPr>
          <w:rFonts w:hint="eastAsia" w:ascii="仿宋" w:hAnsi="仿宋" w:eastAsia="仿宋" w:cs="仿宋"/>
          <w:snapToGrid/>
          <w:kern w:val="2"/>
          <w:sz w:val="32"/>
          <w:szCs w:val="32"/>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联 系 人： </w:t>
      </w:r>
      <w:r>
        <w:rPr>
          <w:rFonts w:hint="eastAsia" w:ascii="仿宋" w:hAnsi="仿宋" w:eastAsia="仿宋" w:cs="仿宋"/>
          <w:snapToGrid/>
          <w:kern w:val="2"/>
          <w:sz w:val="32"/>
          <w:szCs w:val="32"/>
          <w:lang w:val="en-US" w:eastAsia="zh-CN"/>
        </w:rPr>
        <w:t>龚莎</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 xml:space="preserve">电    话： </w:t>
      </w:r>
      <w:r>
        <w:rPr>
          <w:rFonts w:hint="eastAsia" w:ascii="仿宋" w:hAnsi="仿宋" w:eastAsia="仿宋" w:cs="仿宋"/>
          <w:snapToGrid/>
          <w:kern w:val="2"/>
          <w:sz w:val="32"/>
          <w:szCs w:val="32"/>
          <w:lang w:val="en-US" w:eastAsia="zh-CN"/>
        </w:rPr>
        <w:t>13022319088</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邮    箱： </w:t>
      </w:r>
      <w:r>
        <w:rPr>
          <w:rFonts w:hint="eastAsia" w:ascii="仿宋" w:hAnsi="仿宋" w:eastAsia="仿宋" w:cs="仿宋"/>
          <w:snapToGrid/>
          <w:kern w:val="2"/>
          <w:sz w:val="32"/>
          <w:szCs w:val="32"/>
          <w:lang w:val="en-US" w:eastAsia="zh-CN"/>
        </w:rPr>
        <w:t>gongsha</w:t>
      </w:r>
      <w:r>
        <w:rPr>
          <w:rFonts w:hint="eastAsia"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地    址： 广东省深圳市福田区福田路24号海岸环庆大厦</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2">
    <w:nsid w:val="C45C505C"/>
    <w:multiLevelType w:val="singleLevel"/>
    <w:tmpl w:val="C45C505C"/>
    <w:lvl w:ilvl="0" w:tentative="0">
      <w:start w:val="1"/>
      <w:numFmt w:val="decimal"/>
      <w:lvlText w:val="(%1)"/>
      <w:lvlJc w:val="left"/>
      <w:pPr>
        <w:ind w:left="425" w:hanging="425"/>
      </w:pPr>
      <w:rPr>
        <w:rFonts w:hint="default"/>
      </w:rPr>
    </w:lvl>
  </w:abstractNum>
  <w:abstractNum w:abstractNumId="3">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4">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ZhNjM4Zjg5Mzc3MGUyYTRmZjM1MWFkYjFjNTAifQ=="/>
  </w:docVars>
  <w:rsids>
    <w:rsidRoot w:val="009B790D"/>
    <w:rsid w:val="0002693B"/>
    <w:rsid w:val="000721DE"/>
    <w:rsid w:val="000D5FF9"/>
    <w:rsid w:val="001277E0"/>
    <w:rsid w:val="00210D52"/>
    <w:rsid w:val="00255845"/>
    <w:rsid w:val="002A6947"/>
    <w:rsid w:val="002D068D"/>
    <w:rsid w:val="002F4A61"/>
    <w:rsid w:val="00352BE9"/>
    <w:rsid w:val="003779CE"/>
    <w:rsid w:val="004311F8"/>
    <w:rsid w:val="004A1A5C"/>
    <w:rsid w:val="004B0144"/>
    <w:rsid w:val="004C3C08"/>
    <w:rsid w:val="0052711F"/>
    <w:rsid w:val="0055246C"/>
    <w:rsid w:val="00595B86"/>
    <w:rsid w:val="005C6C63"/>
    <w:rsid w:val="005D405B"/>
    <w:rsid w:val="005F7643"/>
    <w:rsid w:val="00676AB5"/>
    <w:rsid w:val="006B75E1"/>
    <w:rsid w:val="00702DDC"/>
    <w:rsid w:val="00786E21"/>
    <w:rsid w:val="007A4BFC"/>
    <w:rsid w:val="007C018A"/>
    <w:rsid w:val="00800258"/>
    <w:rsid w:val="008321AD"/>
    <w:rsid w:val="008340C6"/>
    <w:rsid w:val="00881FCA"/>
    <w:rsid w:val="008B7728"/>
    <w:rsid w:val="008C7034"/>
    <w:rsid w:val="00925319"/>
    <w:rsid w:val="009B790D"/>
    <w:rsid w:val="009E2B12"/>
    <w:rsid w:val="00A61E98"/>
    <w:rsid w:val="00AD4B33"/>
    <w:rsid w:val="00AF4B78"/>
    <w:rsid w:val="00B44A49"/>
    <w:rsid w:val="00BE6E26"/>
    <w:rsid w:val="00C4787F"/>
    <w:rsid w:val="00C904D5"/>
    <w:rsid w:val="00D11780"/>
    <w:rsid w:val="00D36431"/>
    <w:rsid w:val="00DC0F06"/>
    <w:rsid w:val="00DC20DA"/>
    <w:rsid w:val="00E03D35"/>
    <w:rsid w:val="00E9317C"/>
    <w:rsid w:val="00F525B8"/>
    <w:rsid w:val="00FA2208"/>
    <w:rsid w:val="04510321"/>
    <w:rsid w:val="0DD84858"/>
    <w:rsid w:val="1D8A0960"/>
    <w:rsid w:val="1FFF4ADC"/>
    <w:rsid w:val="27075DFC"/>
    <w:rsid w:val="276154F0"/>
    <w:rsid w:val="30580017"/>
    <w:rsid w:val="31BB0737"/>
    <w:rsid w:val="3BFF7B0A"/>
    <w:rsid w:val="3CC852FA"/>
    <w:rsid w:val="3DB23BD7"/>
    <w:rsid w:val="4F1B7938"/>
    <w:rsid w:val="5A3DB2D5"/>
    <w:rsid w:val="5CFD75E3"/>
    <w:rsid w:val="5D2824F2"/>
    <w:rsid w:val="5E791C1A"/>
    <w:rsid w:val="64AB6B78"/>
    <w:rsid w:val="752C72A3"/>
    <w:rsid w:val="75605A2C"/>
    <w:rsid w:val="78126FD2"/>
    <w:rsid w:val="7AFA05D0"/>
    <w:rsid w:val="DAF39B91"/>
    <w:rsid w:val="E1BFFBDB"/>
    <w:rsid w:val="F7FE5F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style>
  <w:style w:type="paragraph" w:styleId="3">
    <w:name w:val="Body Text"/>
    <w:basedOn w:val="1"/>
    <w:semiHidden/>
    <w:qFormat/>
    <w:uiPriority w:val="0"/>
    <w:rPr>
      <w:rFonts w:ascii="宋体" w:hAnsi="宋体" w:eastAsia="宋体" w:cs="宋体"/>
    </w:rPr>
  </w:style>
  <w:style w:type="paragraph" w:styleId="4">
    <w:name w:val="Balloon Text"/>
    <w:basedOn w:val="1"/>
    <w:link w:val="17"/>
    <w:qFormat/>
    <w:uiPriority w:val="0"/>
    <w:rPr>
      <w:sz w:val="18"/>
      <w:szCs w:val="18"/>
    </w:rPr>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13"/>
    <w:qFormat/>
    <w:uiPriority w:val="0"/>
    <w:pPr>
      <w:tabs>
        <w:tab w:val="center" w:pos="4153"/>
        <w:tab w:val="right" w:pos="8306"/>
      </w:tabs>
      <w:jc w:val="center"/>
    </w:pPr>
    <w:rPr>
      <w:sz w:val="18"/>
      <w:szCs w:val="18"/>
    </w:rPr>
  </w:style>
  <w:style w:type="paragraph" w:styleId="7">
    <w:name w:val="annotation subject"/>
    <w:basedOn w:val="2"/>
    <w:next w:val="2"/>
    <w:link w:val="16"/>
    <w:qFormat/>
    <w:uiPriority w:val="0"/>
    <w:rPr>
      <w:b/>
      <w:bCs/>
    </w:r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页眉 字符"/>
    <w:basedOn w:val="9"/>
    <w:link w:val="6"/>
    <w:qFormat/>
    <w:uiPriority w:val="0"/>
    <w:rPr>
      <w:rFonts w:ascii="Arial" w:hAnsi="Arial" w:eastAsia="Arial" w:cs="Arial"/>
      <w:snapToGrid w:val="0"/>
      <w:color w:val="000000"/>
      <w:sz w:val="18"/>
      <w:szCs w:val="18"/>
      <w:lang w:eastAsia="en-US"/>
    </w:rPr>
  </w:style>
  <w:style w:type="character" w:customStyle="1" w:styleId="14">
    <w:name w:val="页脚 字符"/>
    <w:basedOn w:val="9"/>
    <w:link w:val="5"/>
    <w:qFormat/>
    <w:uiPriority w:val="0"/>
    <w:rPr>
      <w:rFonts w:ascii="Arial" w:hAnsi="Arial" w:eastAsia="Arial" w:cs="Arial"/>
      <w:snapToGrid w:val="0"/>
      <w:color w:val="000000"/>
      <w:sz w:val="18"/>
      <w:szCs w:val="18"/>
      <w:lang w:eastAsia="en-US"/>
    </w:rPr>
  </w:style>
  <w:style w:type="character" w:customStyle="1" w:styleId="15">
    <w:name w:val="批注文字 字符"/>
    <w:basedOn w:val="9"/>
    <w:link w:val="2"/>
    <w:qFormat/>
    <w:uiPriority w:val="0"/>
    <w:rPr>
      <w:rFonts w:ascii="Arial" w:hAnsi="Arial" w:eastAsia="Arial" w:cs="Arial"/>
      <w:snapToGrid w:val="0"/>
      <w:color w:val="000000"/>
      <w:sz w:val="21"/>
      <w:szCs w:val="21"/>
      <w:lang w:eastAsia="en-US"/>
    </w:rPr>
  </w:style>
  <w:style w:type="character" w:customStyle="1" w:styleId="16">
    <w:name w:val="批注主题 字符"/>
    <w:basedOn w:val="15"/>
    <w:link w:val="7"/>
    <w:qFormat/>
    <w:uiPriority w:val="0"/>
    <w:rPr>
      <w:rFonts w:ascii="Arial" w:hAnsi="Arial" w:eastAsia="Arial" w:cs="Arial"/>
      <w:b/>
      <w:bCs/>
      <w:snapToGrid w:val="0"/>
      <w:color w:val="000000"/>
      <w:sz w:val="21"/>
      <w:szCs w:val="21"/>
      <w:lang w:eastAsia="en-US"/>
    </w:rPr>
  </w:style>
  <w:style w:type="character" w:customStyle="1" w:styleId="17">
    <w:name w:val="批注框文本 字符"/>
    <w:basedOn w:val="9"/>
    <w:link w:val="4"/>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0420217A-5CB5-420E-876C-51281FD2A2D2}">
  <ds:schemaRefs/>
</ds:datastoreItem>
</file>

<file path=docProps/app.xml><?xml version="1.0" encoding="utf-8"?>
<Properties xmlns="http://schemas.openxmlformats.org/officeDocument/2006/extended-properties" xmlns:vt="http://schemas.openxmlformats.org/officeDocument/2006/docPropsVTypes">
  <Pages>3</Pages>
  <Words>1259</Words>
  <Characters>1418</Characters>
  <Lines>7</Lines>
  <Paragraphs>2</Paragraphs>
  <TotalTime>14</TotalTime>
  <ScaleCrop>false</ScaleCrop>
  <LinksUpToDate>false</LinksUpToDate>
  <CharactersWithSpaces>1474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2023-11-13T16:13:00Z</dcterms:created>
  <dc:creator>111</dc:creator>
  <cp:lastModifiedBy>gongsha</cp:lastModifiedBy>
  <dcterms:modified xsi:type="dcterms:W3CDTF">2025-09-30T05:57:08Z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2052-11.1.0.11636</vt:lpwstr>
  </property>
  <property fmtid="{D5CDD505-2E9C-101B-9397-08002B2CF9AE}" pid="5" name="ICV">
    <vt:lpwstr>4C86F5E74D4C4B478E10604BD737A129_13</vt:lpwstr>
  </property>
</Properties>
</file>